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:rsidR="003C7F32" w:rsidRPr="000503AA" w:rsidRDefault="001F35A4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A0B84700-AD19-49BD-961A-4E06D9FFBB6F}" provid="{00000000-0000-0000-0000-000000000000}" o:suggestedsigner2="Д-Р ЛОЗАНА ВАСИЛЕВА" o:suggestedsigneremail="Заместник-министър" issignatureline="t"/>
          </v:shape>
        </w:pict>
      </w:r>
    </w:p>
    <w:tbl>
      <w:tblPr>
        <w:tblStyle w:val="TableGrid"/>
        <w:tblW w:w="15735" w:type="dxa"/>
        <w:tblInd w:w="-601" w:type="dxa"/>
        <w:tblLook w:val="04A0" w:firstRow="1" w:lastRow="0" w:firstColumn="1" w:lastColumn="0" w:noHBand="0" w:noVBand="1"/>
      </w:tblPr>
      <w:tblGrid>
        <w:gridCol w:w="15735"/>
      </w:tblGrid>
      <w:tr w:rsidR="003C7F32" w:rsidRPr="00D7411B" w:rsidTr="00997361">
        <w:tc>
          <w:tcPr>
            <w:tcW w:w="15735" w:type="dxa"/>
            <w:shd w:val="clear" w:color="auto" w:fill="D6E3BC" w:themeFill="accent3" w:themeFillTint="66"/>
          </w:tcPr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19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насоки за кандидатстване по </w:t>
            </w:r>
            <w:r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чрез подбор на п</w:t>
            </w:r>
            <w:r w:rsidR="00660708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роектни предложения </w:t>
            </w:r>
            <w:r w:rsidR="00D961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961D2" w:rsidRPr="00D9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BG06RDNP001- 4.009 по </w:t>
            </w:r>
            <w:proofErr w:type="spellStart"/>
            <w:r w:rsidR="00D961D2" w:rsidRPr="00D961D2">
              <w:rPr>
                <w:rFonts w:ascii="Times New Roman" w:hAnsi="Times New Roman" w:cs="Times New Roman"/>
                <w:b/>
                <w:sz w:val="24"/>
                <w:szCs w:val="24"/>
              </w:rPr>
              <w:t>подмярка</w:t>
            </w:r>
            <w:proofErr w:type="spellEnd"/>
            <w:r w:rsidR="00D961D2" w:rsidRPr="00D9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</w:t>
            </w:r>
          </w:p>
        </w:tc>
      </w:tr>
    </w:tbl>
    <w:p w:rsidR="00DE7826" w:rsidRPr="00AB08FA" w:rsidRDefault="00DE7826"/>
    <w:tbl>
      <w:tblPr>
        <w:tblStyle w:val="TableGrid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5812"/>
        <w:gridCol w:w="6095"/>
      </w:tblGrid>
      <w:tr w:rsidR="00060675" w:rsidRPr="00D7411B" w:rsidTr="00997361">
        <w:tc>
          <w:tcPr>
            <w:tcW w:w="567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2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812" w:type="dxa"/>
            <w:vAlign w:val="center"/>
          </w:tcPr>
          <w:p w:rsidR="00DE7826" w:rsidRPr="00D7411B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6095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060675" w:rsidRPr="003C11CC" w:rsidTr="00D961D2">
        <w:trPr>
          <w:trHeight w:val="523"/>
        </w:trPr>
        <w:tc>
          <w:tcPr>
            <w:tcW w:w="567" w:type="dxa"/>
            <w:shd w:val="clear" w:color="auto" w:fill="auto"/>
            <w:vAlign w:val="center"/>
          </w:tcPr>
          <w:p w:rsidR="00DE7826" w:rsidRPr="003C7F32" w:rsidRDefault="003C7F32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14678" w:rsidRPr="00F14678" w:rsidRDefault="00D961D2" w:rsidP="008A4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Radostin</w:t>
            </w:r>
            <w:proofErr w:type="spellEnd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Merakov</w:t>
            </w:r>
            <w:proofErr w:type="spellEnd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tinkfinance@hotmail</w:t>
            </w:r>
            <w:proofErr w:type="spellEnd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7826" w:rsidRPr="00D961D2" w:rsidRDefault="00D961D2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27.06.2020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shd w:val="clear" w:color="auto" w:fill="auto"/>
          </w:tcPr>
          <w:p w:rsidR="00D961D2" w:rsidRPr="00D961D2" w:rsidRDefault="00D961D2" w:rsidP="00D96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От представената информация не става ясно дали Земеделски производители които са кандидатствали по първия прием на 4.1.2 и все още не са подписали договор допустими кандидати ли са? </w:t>
            </w:r>
          </w:p>
          <w:p w:rsidR="00A31D71" w:rsidRPr="00217DBD" w:rsidRDefault="00A31D71" w:rsidP="00A31D7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5925B5" w:rsidRDefault="005925B5" w:rsidP="005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34">
              <w:rPr>
                <w:rFonts w:ascii="Times New Roman" w:hAnsi="Times New Roman" w:cs="Times New Roman"/>
                <w:sz w:val="24"/>
                <w:szCs w:val="24"/>
              </w:rPr>
              <w:t xml:space="preserve">Не се приема.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D2834">
              <w:rPr>
                <w:rFonts w:ascii="Times New Roman" w:hAnsi="Times New Roman" w:cs="Times New Roman"/>
                <w:sz w:val="24"/>
                <w:szCs w:val="24"/>
              </w:rPr>
              <w:t xml:space="preserve">аздел 11. „Допустими кандидати“ от условията за кандидатстване подробно са разписани критериите за допустимост и недопустимост на кандидатите по </w:t>
            </w:r>
            <w:proofErr w:type="spellStart"/>
            <w:r w:rsidRPr="00FD2834">
              <w:rPr>
                <w:rFonts w:ascii="Times New Roman" w:hAnsi="Times New Roman" w:cs="Times New Roman"/>
                <w:sz w:val="24"/>
                <w:szCs w:val="24"/>
              </w:rPr>
              <w:t>подмярката</w:t>
            </w:r>
            <w:proofErr w:type="spellEnd"/>
            <w:r w:rsidRPr="00FD2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08F" w:rsidRPr="00060675" w:rsidRDefault="009A108F" w:rsidP="004A7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D03" w:rsidRPr="003C11CC" w:rsidTr="00D961D2">
        <w:trPr>
          <w:trHeight w:val="523"/>
        </w:trPr>
        <w:tc>
          <w:tcPr>
            <w:tcW w:w="567" w:type="dxa"/>
            <w:shd w:val="clear" w:color="auto" w:fill="auto"/>
            <w:vAlign w:val="center"/>
          </w:tcPr>
          <w:p w:rsidR="003D7D03" w:rsidRP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7D03" w:rsidRPr="00D961D2" w:rsidRDefault="003D7D03" w:rsidP="008A4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03">
              <w:rPr>
                <w:rFonts w:ascii="Times New Roman" w:hAnsi="Times New Roman" w:cs="Times New Roman"/>
                <w:sz w:val="24"/>
                <w:szCs w:val="24"/>
              </w:rPr>
              <w:t>zp_trayanpanayotov_elena@abv.bg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D03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7D0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02.07.2020</w:t>
            </w:r>
          </w:p>
        </w:tc>
        <w:tc>
          <w:tcPr>
            <w:tcW w:w="5812" w:type="dxa"/>
            <w:shd w:val="clear" w:color="auto" w:fill="auto"/>
          </w:tcPr>
          <w:p w:rsidR="003D7D03" w:rsidRPr="00D961D2" w:rsidRDefault="003D7D03" w:rsidP="00D96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D03">
              <w:rPr>
                <w:rFonts w:ascii="Times New Roman" w:hAnsi="Times New Roman" w:cs="Times New Roman"/>
                <w:sz w:val="24"/>
                <w:szCs w:val="24"/>
              </w:rPr>
              <w:t xml:space="preserve">Имам договор за аренда за 4,8 дка овощна градина - сливи. С договор за наем и участваща същата земя в споразумение по чл.37, т.В още 5,8  . Имам намерение да </w:t>
            </w:r>
            <w:proofErr w:type="spellStart"/>
            <w:r w:rsidRPr="003D7D03">
              <w:rPr>
                <w:rFonts w:ascii="Times New Roman" w:hAnsi="Times New Roman" w:cs="Times New Roman"/>
                <w:sz w:val="24"/>
                <w:szCs w:val="24"/>
              </w:rPr>
              <w:t>кандидатсвам</w:t>
            </w:r>
            <w:proofErr w:type="spellEnd"/>
            <w:r w:rsidRPr="003D7D03">
              <w:rPr>
                <w:rFonts w:ascii="Times New Roman" w:hAnsi="Times New Roman" w:cs="Times New Roman"/>
                <w:sz w:val="24"/>
                <w:szCs w:val="24"/>
              </w:rPr>
              <w:t xml:space="preserve"> за създаване на още 4 дка овощна градина, която може да бъде създадена в периода 01.11.2020г. - 14.04.2021г. Това намерение може ли да бъде включено при изчисляване на СПО и моля да бъде конкретизирано в условията за </w:t>
            </w:r>
            <w:proofErr w:type="spellStart"/>
            <w:r w:rsidRPr="003D7D03">
              <w:rPr>
                <w:rFonts w:ascii="Times New Roman" w:hAnsi="Times New Roman" w:cs="Times New Roman"/>
                <w:sz w:val="24"/>
                <w:szCs w:val="24"/>
              </w:rPr>
              <w:t>кандидатсване</w:t>
            </w:r>
            <w:proofErr w:type="spellEnd"/>
            <w:r w:rsidRPr="003D7D03">
              <w:rPr>
                <w:rFonts w:ascii="Times New Roman" w:hAnsi="Times New Roman" w:cs="Times New Roman"/>
                <w:sz w:val="24"/>
                <w:szCs w:val="24"/>
              </w:rPr>
              <w:t xml:space="preserve"> този въпрос.</w:t>
            </w:r>
          </w:p>
        </w:tc>
        <w:tc>
          <w:tcPr>
            <w:tcW w:w="6095" w:type="dxa"/>
            <w:shd w:val="clear" w:color="auto" w:fill="auto"/>
          </w:tcPr>
          <w:p w:rsidR="003D7D03" w:rsidRPr="00060675" w:rsidRDefault="005925B5" w:rsidP="00C90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т.21 от Раздел </w:t>
            </w:r>
            <w:r w:rsidRPr="004A7882">
              <w:rPr>
                <w:rFonts w:ascii="Times New Roman" w:hAnsi="Times New Roman" w:cs="Times New Roman"/>
                <w:sz w:val="24"/>
                <w:szCs w:val="24"/>
              </w:rPr>
              <w:t xml:space="preserve">11.1.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4A7882">
              <w:rPr>
                <w:rFonts w:ascii="Times New Roman" w:hAnsi="Times New Roman" w:cs="Times New Roman"/>
                <w:sz w:val="24"/>
                <w:szCs w:val="24"/>
              </w:rPr>
              <w:t>Критерии за допустимост на кандидатите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 е посочен начина за </w:t>
            </w:r>
            <w:r w:rsidRPr="00C904E5">
              <w:rPr>
                <w:rFonts w:ascii="Times New Roman" w:hAnsi="Times New Roman" w:cs="Times New Roman"/>
                <w:sz w:val="24"/>
                <w:szCs w:val="24"/>
              </w:rPr>
              <w:t>формирането на икономическия размер на земеделското стопанство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включително</w:t>
            </w:r>
            <w:r w:rsidRPr="00C9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04E5">
              <w:rPr>
                <w:rFonts w:ascii="Times New Roman" w:hAnsi="Times New Roman" w:cs="Times New Roman"/>
                <w:sz w:val="24"/>
                <w:szCs w:val="24"/>
              </w:rPr>
              <w:t xml:space="preserve"> култури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намерения за засаждане.</w:t>
            </w:r>
          </w:p>
        </w:tc>
      </w:tr>
      <w:tr w:rsidR="00060675" w:rsidRPr="003C11CC" w:rsidTr="00997361">
        <w:tc>
          <w:tcPr>
            <w:tcW w:w="567" w:type="dxa"/>
            <w:shd w:val="clear" w:color="auto" w:fill="auto"/>
            <w:vAlign w:val="center"/>
          </w:tcPr>
          <w:p w:rsidR="008A4E2A" w:rsidRPr="008A4E2A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14678" w:rsidRPr="003C7F32" w:rsidRDefault="00D961D2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Фондация </w:t>
            </w: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Смарт</w:t>
            </w:r>
            <w:proofErr w:type="spellEnd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Агростарт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8A4E2A" w:rsidRPr="00270946" w:rsidRDefault="00D961D2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06.07.2020 г. </w:t>
            </w:r>
          </w:p>
        </w:tc>
        <w:tc>
          <w:tcPr>
            <w:tcW w:w="5812" w:type="dxa"/>
            <w:shd w:val="clear" w:color="auto" w:fill="auto"/>
          </w:tcPr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цел яснота за кандидатите да се уточнят в 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Допустими целеви групи за подпомагане по т.15 определените в т.11 „Допустими кандидати” по процедурата.</w:t>
            </w:r>
          </w:p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ab/>
              <w:t>С цел улеснение на кандидатите при подаване на проектните предложение да се предвиди възможност за представяне на документа по т. 17 от 24.1 „Списък с общи документи” в съответствие с условието по т. 48 от 24.1 „Списък с общи документи”.</w:t>
            </w:r>
          </w:p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C1EF7">
              <w:rPr>
                <w:rFonts w:ascii="Times New Roman" w:hAnsi="Times New Roman" w:cs="Times New Roman"/>
                <w:sz w:val="24"/>
                <w:szCs w:val="24"/>
              </w:rPr>
              <w:t>С цел яснота на допустимите разходи за кандидатите земеделски стопани да се поясни т.14 от 14.2 Условия за допустимост на разходите и описаните земеделски продукти в Приложение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 xml:space="preserve"> №2 към Условията за кандидатстване.</w:t>
            </w:r>
          </w:p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ab/>
              <w:t>С цел яснота да се поясни по т.49, от 24.1 „Списък с общи документи” по отношение прилагането към проектното предложение на изискуеми документи съгласно националното законодателство, включва ли такива, които не са посочени в Условията за кандидатстване.</w:t>
            </w:r>
          </w:p>
          <w:p w:rsidR="00D961D2" w:rsidRPr="00D961D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2A" w:rsidRPr="00AF7632" w:rsidRDefault="00D961D2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1D2">
              <w:rPr>
                <w:rFonts w:ascii="Times New Roman" w:hAnsi="Times New Roman" w:cs="Times New Roman"/>
                <w:sz w:val="24"/>
                <w:szCs w:val="24"/>
              </w:rPr>
              <w:t>Забележка: предложенията са изготвени във връзка с изпълнение на поетите ангажименти по договор   №BG05SFOP001-2.009-0040-C01/19.12.2018 г. за финансиране на проект №BG05SFOP001-2.009-0040 с наименование „Заедно за българското село! – Информиране на широката общественост, събиране на данни за обществените нагласи и разработване на бази данни с цел подпомагане на процесите по формулиране, изпълнение и мониторинг на политиките и законодателството в сектор „Земеделие и развитие на селските райони с оглед подобряване на гражданското участие в тези процеси“, финансиран от Европейски съюз-Европейски социален фонд и изпълняван по Оперативна програма „Добро управление“, процедура BG05SFOP001-2.009.</w:t>
            </w:r>
          </w:p>
        </w:tc>
        <w:tc>
          <w:tcPr>
            <w:tcW w:w="6095" w:type="dxa"/>
            <w:shd w:val="clear" w:color="auto" w:fill="auto"/>
          </w:tcPr>
          <w:p w:rsidR="00C37015" w:rsidRDefault="00C37015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1D2" w:rsidRDefault="00D961D2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Не се приема. Допустимите кандидати са о</w:t>
            </w:r>
            <w:r w:rsidR="005925B5">
              <w:rPr>
                <w:rFonts w:ascii="Times New Roman" w:hAnsi="Times New Roman" w:cs="Times New Roman"/>
                <w:sz w:val="24"/>
                <w:szCs w:val="24"/>
              </w:rPr>
              <w:t xml:space="preserve">писани </w:t>
            </w:r>
            <w:r w:rsidR="00592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подробно в Раздел 11.1 „Д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опустими кандидати“, докато </w:t>
            </w:r>
            <w:r w:rsidR="00906767">
              <w:rPr>
                <w:rFonts w:ascii="Times New Roman" w:hAnsi="Times New Roman" w:cs="Times New Roman"/>
                <w:sz w:val="24"/>
                <w:szCs w:val="24"/>
              </w:rPr>
              <w:t>в т. 15</w:t>
            </w:r>
            <w:r w:rsidR="00FA2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767">
              <w:rPr>
                <w:rFonts w:ascii="Times New Roman" w:hAnsi="Times New Roman" w:cs="Times New Roman"/>
                <w:sz w:val="24"/>
                <w:szCs w:val="24"/>
              </w:rPr>
              <w:t xml:space="preserve">е описана целевата група. </w:t>
            </w: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Приема се.</w:t>
            </w: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767">
              <w:rPr>
                <w:rFonts w:ascii="Times New Roman" w:hAnsi="Times New Roman" w:cs="Times New Roman"/>
                <w:sz w:val="24"/>
                <w:szCs w:val="24"/>
              </w:rPr>
              <w:t xml:space="preserve">3. Не се приема. </w:t>
            </w:r>
            <w:r w:rsidR="005925B5">
              <w:rPr>
                <w:rFonts w:ascii="Times New Roman" w:hAnsi="Times New Roman" w:cs="Times New Roman"/>
                <w:sz w:val="24"/>
                <w:szCs w:val="24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е пояснена в т. 10 и т. 11, също така е направена препратка</w:t>
            </w:r>
            <w:r w:rsidRPr="00DC1EF7">
              <w:rPr>
                <w:rFonts w:ascii="Times New Roman" w:hAnsi="Times New Roman" w:cs="Times New Roman"/>
                <w:sz w:val="24"/>
                <w:szCs w:val="24"/>
              </w:rPr>
              <w:t xml:space="preserve"> към </w:t>
            </w:r>
            <w:r w:rsidRPr="00906767">
              <w:rPr>
                <w:rFonts w:ascii="Times New Roman" w:hAnsi="Times New Roman" w:cs="Times New Roman"/>
                <w:sz w:val="24"/>
                <w:szCs w:val="24"/>
              </w:rPr>
              <w:t>чл. 235 и 241 от Закона за горите.</w:t>
            </w: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Default="00906767" w:rsidP="00EF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767" w:rsidRPr="00AF7632" w:rsidRDefault="00906767" w:rsidP="00DC1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34">
              <w:rPr>
                <w:rFonts w:ascii="Times New Roman" w:hAnsi="Times New Roman" w:cs="Times New Roman"/>
                <w:sz w:val="24"/>
                <w:szCs w:val="24"/>
              </w:rPr>
              <w:t>4. Не се приема. За всяка допустима дейност кандидатите следва да представят документи съгласно националното законодателство.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D03" w:rsidRPr="003C11CC" w:rsidTr="00103291">
        <w:tc>
          <w:tcPr>
            <w:tcW w:w="567" w:type="dxa"/>
            <w:vMerge w:val="restart"/>
            <w:shd w:val="clear" w:color="auto" w:fill="auto"/>
          </w:tcPr>
          <w:p w:rsidR="003D7D03" w:rsidRPr="008A4E2A" w:rsidRDefault="003D7D03" w:rsidP="00103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D7D03" w:rsidRPr="0002546F" w:rsidRDefault="003D7D03" w:rsidP="00103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03">
              <w:rPr>
                <w:rFonts w:ascii="Times New Roman" w:hAnsi="Times New Roman" w:cs="Times New Roman"/>
                <w:sz w:val="24"/>
                <w:szCs w:val="24"/>
              </w:rPr>
              <w:t>Национална служба за съвети в земеделието (НССЗ)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7D03" w:rsidRPr="00270946" w:rsidRDefault="003D7D03" w:rsidP="00103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06.07.2020 г.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D7D03" w:rsidRPr="005F4B1B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 се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добави т. 13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Бизнес планът може да бъде изготвен за кандидата безвъзмездно от Националната служба за съвети в земеделието при спазване на условията и изискванията на Наредба № 7 от 2016 г. за прилагане на </w:t>
            </w:r>
            <w:proofErr w:type="spellStart"/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подмярка</w:t>
            </w:r>
            <w:proofErr w:type="spellEnd"/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2.1.2. "Консултантски услуги за малки земеделски стопанства" от мярка 2 "Консултантски услуги, </w:t>
            </w:r>
            <w:proofErr w:type="spellStart"/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proofErr w:type="spellEnd"/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управление на стопанството и услуги по заместване в стопанството" от Програмата за развитие на селските райони за периода 2014 – 2020 г. (ДВ, бр. 36 от 2016 г.), наричана по-нататък "Наредба № 7 от 2016 г.".</w:t>
            </w:r>
          </w:p>
          <w:p w:rsidR="00E67C8E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7C8E" w:rsidRDefault="00E67C8E" w:rsidP="00277EA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E67C8E" w:rsidRPr="00E67C8E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Бенефициентите ще  са по-добре информирани и запознати с възможността осигурена от Министерството н земеделието, храните и горите за безплатно изготвяне на проекти от страна на НССЗ</w:t>
            </w:r>
          </w:p>
        </w:tc>
        <w:tc>
          <w:tcPr>
            <w:tcW w:w="6095" w:type="dxa"/>
            <w:shd w:val="clear" w:color="auto" w:fill="auto"/>
          </w:tcPr>
          <w:p w:rsidR="003D7D03" w:rsidRPr="00791CC4" w:rsidRDefault="005925B5" w:rsidP="00084EE5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се приема. В приложение №7 от Условията за кандидатстване е предвидена възможност за отбелязване от кого е изготвен бизнес плана.</w:t>
            </w:r>
          </w:p>
        </w:tc>
      </w:tr>
      <w:tr w:rsidR="003D7D03" w:rsidRPr="003C11CC" w:rsidTr="00CC3998">
        <w:tc>
          <w:tcPr>
            <w:tcW w:w="567" w:type="dxa"/>
            <w:vMerge/>
            <w:shd w:val="clear" w:color="auto" w:fill="auto"/>
            <w:vAlign w:val="center"/>
          </w:tcPr>
          <w:p w:rsidR="003D7D03" w:rsidRPr="008A4E2A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D00C79" w:rsidRDefault="003D7D03" w:rsidP="00D00C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D7D03" w:rsidRPr="000B0E87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 се добави, че буква „в“ не включва земеделска техника или изцяло да отпадне буква „в“</w:t>
            </w:r>
          </w:p>
          <w:p w:rsidR="003D7D03" w:rsidRPr="000B0E87" w:rsidRDefault="003D7D03" w:rsidP="00277E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B0E87">
              <w:rPr>
                <w:rFonts w:ascii="Times New Roman" w:hAnsi="Times New Roman" w:cs="Times New Roman"/>
                <w:sz w:val="24"/>
                <w:szCs w:val="24"/>
              </w:rPr>
              <w:t>. Не се подпомагат като самостоятелен проект или дейност:</w:t>
            </w:r>
          </w:p>
          <w:p w:rsidR="003D7D03" w:rsidRPr="000B0E87" w:rsidRDefault="003D7D03" w:rsidP="00277E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sz w:val="24"/>
                <w:szCs w:val="24"/>
              </w:rPr>
              <w:t xml:space="preserve">      а) събарянето на стари сгради и производствени съоръжения;</w:t>
            </w:r>
          </w:p>
          <w:p w:rsidR="003D7D03" w:rsidRPr="000B0E87" w:rsidRDefault="003D7D03" w:rsidP="00277E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sz w:val="24"/>
                <w:szCs w:val="24"/>
              </w:rPr>
              <w:t xml:space="preserve">      б) инвестициите в нематериални активи;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sz w:val="24"/>
                <w:szCs w:val="24"/>
              </w:rPr>
              <w:t xml:space="preserve">      в) закупуване на специализирани транспортни средства, </w:t>
            </w:r>
            <w:r w:rsidRPr="000B0E87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с изключение на земеделска техника</w:t>
            </w:r>
            <w:r w:rsidRPr="000B0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C8E" w:rsidRDefault="00E67C8E" w:rsidP="00277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8E" w:rsidRPr="00E67C8E" w:rsidRDefault="00E67C8E" w:rsidP="00277E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b/>
                <w:sz w:val="24"/>
                <w:szCs w:val="24"/>
              </w:rPr>
              <w:t>Мотив:</w:t>
            </w:r>
          </w:p>
          <w:p w:rsidR="00E67C8E" w:rsidRPr="000B0E87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подмярката</w:t>
            </w:r>
            <w:proofErr w:type="spellEnd"/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ще кандидатстват малки земеделски стопанства за закупване на малогабаритна земеделска техника или с малко конски сили. Няма причина да бъде забранено да кандидатстват с проект – единствено например за закупуване на трактор за обработка на земеделските площи с плодове и </w:t>
            </w:r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зеленчуци и/или етерично маслени култури</w:t>
            </w:r>
          </w:p>
        </w:tc>
        <w:tc>
          <w:tcPr>
            <w:tcW w:w="6095" w:type="dxa"/>
            <w:shd w:val="clear" w:color="auto" w:fill="auto"/>
          </w:tcPr>
          <w:p w:rsidR="003D7D03" w:rsidRPr="000B0E87" w:rsidRDefault="0088018A" w:rsidP="00486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се п</w:t>
            </w:r>
            <w:r w:rsidR="008144EE" w:rsidRPr="007C160D">
              <w:rPr>
                <w:rFonts w:ascii="Times New Roman" w:hAnsi="Times New Roman" w:cs="Times New Roman"/>
                <w:sz w:val="24"/>
                <w:szCs w:val="24"/>
              </w:rPr>
              <w:t>риема</w:t>
            </w:r>
            <w:r w:rsidR="008838C2" w:rsidRPr="007C16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1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8C2" w:rsidRPr="007C160D">
              <w:rPr>
                <w:rFonts w:ascii="Times New Roman" w:hAnsi="Times New Roman" w:cs="Times New Roman"/>
                <w:sz w:val="24"/>
                <w:szCs w:val="24"/>
              </w:rPr>
              <w:t xml:space="preserve">В Условията за кандидатстване е посочена легална дефиниция за „Земеделска техника“, която се използва при прилагане на </w:t>
            </w:r>
            <w:proofErr w:type="spellStart"/>
            <w:r w:rsidR="008838C2" w:rsidRPr="007C160D">
              <w:rPr>
                <w:rFonts w:ascii="Times New Roman" w:hAnsi="Times New Roman" w:cs="Times New Roman"/>
                <w:sz w:val="24"/>
                <w:szCs w:val="24"/>
              </w:rPr>
              <w:t>подмярката</w:t>
            </w:r>
            <w:proofErr w:type="spellEnd"/>
            <w:r w:rsidR="008838C2" w:rsidRPr="007C160D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определяне на допустимите дейности.</w:t>
            </w:r>
            <w:r w:rsidR="007C160D">
              <w:rPr>
                <w:rFonts w:ascii="Times New Roman" w:hAnsi="Times New Roman" w:cs="Times New Roman"/>
                <w:sz w:val="24"/>
                <w:szCs w:val="24"/>
              </w:rPr>
              <w:t xml:space="preserve"> Земеделската техника не попада в обхвата на специализирани транспортни средства.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Pr="008A4E2A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7E3E95" w:rsidRDefault="003D7D03" w:rsidP="00D00C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D7D03" w:rsidRPr="000B0E87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случай, че се има предвид с т.19, че не се подпомагат инвестиции допустими по Националната програма по пчеларство да се прецизира текста по следния начин:</w:t>
            </w:r>
          </w:p>
          <w:p w:rsidR="003D7D03" w:rsidRPr="000B0E87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 </w:t>
            </w:r>
            <w:r w:rsidRPr="000B0E87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Допустими за подпомагане</w:t>
            </w:r>
            <w:r w:rsidRPr="000B0E87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Националната програма по пчеларство за периода 2017 – 2019 г. и Националната програма по пчеларство за периода 2020 – 2022 г.;</w:t>
            </w:r>
          </w:p>
          <w:p w:rsidR="003D7D03" w:rsidRPr="000B0E87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Pr="000B0E87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в случай, че се има предвид, че не се подпомагат инвестиции, за които кандидатът е получил подпомагане по Националната програма по пчеларство, да се прецизира текста по-следния начин: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 </w:t>
            </w:r>
            <w:r w:rsidRPr="000B0E87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Разходи, за които кандидатът е подпомогнат</w:t>
            </w:r>
            <w:r w:rsidRPr="000B0E87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0B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Националната програма по пчеларство за периода 2017 – 2019 г. и Националната програма по пчеларство за периода 2020 – 2022 г.;</w:t>
            </w:r>
          </w:p>
          <w:p w:rsidR="00E67C8E" w:rsidRDefault="00E67C8E" w:rsidP="00E67C8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67C8E" w:rsidRDefault="00E67C8E" w:rsidP="00E67C8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E67C8E" w:rsidRPr="000B0E87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този начин текстът ще бъде много по-ясен и няма да предполага различни интерпретации при тълкуването</w:t>
            </w:r>
          </w:p>
          <w:p w:rsidR="003D7D03" w:rsidRPr="000B0E87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0B0E87" w:rsidRDefault="008144EE" w:rsidP="00D96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02546F" w:rsidRDefault="003D7D03" w:rsidP="00AB0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т. 20 е записано, че не се подпомага финансиране на закупуването на транспортни средства с изключение на земеделска техника. Предлагаме посочената точка да бъде променена така: </w:t>
            </w:r>
            <w:r w:rsidRPr="00385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„</w:t>
            </w:r>
            <w:r w:rsidRPr="00385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Транспортни средства с изключение на</w:t>
            </w:r>
            <w:r w:rsidRPr="00385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385B5B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хладилни транспортни средства необходими за прякото осъществяване на селскостопанската дейност</w:t>
            </w:r>
            <w:r w:rsidRPr="00385B5B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земеделска техника</w:t>
            </w:r>
          </w:p>
          <w:p w:rsidR="00E67C8E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7C8E" w:rsidRDefault="00E67C8E" w:rsidP="00E67C8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7C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E67C8E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редица случаи земеделските стопани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произвеждащи плодове и зеленчуци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 нуждаят от специализирани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малки хладилни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транспортни средства за прякото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осъществяване на своята дейност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транспортиране на произведената продукция до пазара.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Също така и млекопроизводители за транспортиране на суровото мляко.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Ако такива специализирани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хладилни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тни средства и тяхното закупуване се подпомагат, то това би допринесло за цялостното подобряване на селскостопанската дейност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подобряване на хигиената и на маркетинга на плодовете и зеленчуците в т.ч. избягване на прекупвачите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Единственото изискване би следвало да бъде в бизнес плана да се опише като обосновка с каква цел и по какъв начин ще бъде използвано специализираното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хладилно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транспортно средство</w:t>
            </w:r>
          </w:p>
          <w:p w:rsidR="00E67C8E" w:rsidRPr="005F4B1B" w:rsidRDefault="00E67C8E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A6744D" w:rsidRDefault="00084EE5" w:rsidP="00EB39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се приема.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подмярката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се допускат разходи за </w:t>
            </w:r>
            <w:r w:rsidR="000B0E87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0B0E87" w:rsidRPr="00084EE5">
              <w:rPr>
                <w:rFonts w:ascii="Times New Roman" w:hAnsi="Times New Roman" w:cs="Times New Roman"/>
                <w:sz w:val="24"/>
                <w:szCs w:val="24"/>
              </w:rPr>
              <w:t>анспортни</w:t>
            </w:r>
            <w:r w:rsidRPr="00084E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 изключение на земеделска техника</w:t>
            </w:r>
            <w:r w:rsidR="00113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D00C79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 се даде възможност на бенефициенти, които провеждат </w:t>
            </w:r>
            <w:r w:rsidRPr="00894E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процедура по </w:t>
            </w:r>
            <w:r w:rsidRPr="00894E8F">
              <w:rPr>
                <w:rFonts w:ascii="Times New Roman" w:hAnsi="Times New Roman" w:cs="Times New Roman"/>
                <w:sz w:val="24"/>
                <w:szCs w:val="24"/>
              </w:rPr>
              <w:t>ПМС № 160/2016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изпълнят проекта също в рамките на до 24 месеца, но след провеждане на процедурата, но разбира се не по-късно от 15.09.2023 г.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Pr="00B80F53" w:rsidRDefault="003D7D03" w:rsidP="00277EA9">
            <w:pPr>
              <w:jc w:val="both"/>
              <w:rPr>
                <w:rFonts w:ascii="Times New Roman" w:hAnsi="Times New Roman"/>
                <w:sz w:val="24"/>
                <w:shd w:val="clear" w:color="auto" w:fill="FEFEFE"/>
              </w:rPr>
            </w:pPr>
            <w:r w:rsidRPr="00B80F53">
              <w:rPr>
                <w:rFonts w:ascii="Times New Roman" w:hAnsi="Times New Roman"/>
                <w:b/>
                <w:sz w:val="24"/>
                <w:shd w:val="clear" w:color="auto" w:fill="FEFEFE"/>
              </w:rPr>
              <w:t>1.</w:t>
            </w:r>
            <w:r w:rsidRPr="00B80F53">
              <w:rPr>
                <w:rFonts w:ascii="Times New Roman" w:hAnsi="Times New Roman"/>
                <w:sz w:val="24"/>
                <w:shd w:val="clear" w:color="auto" w:fill="FEFEFE"/>
              </w:rPr>
              <w:t xml:space="preserve"> Одобреният проект се изпълнява в срок до 24 месеца, от датата на:</w:t>
            </w:r>
          </w:p>
          <w:p w:rsidR="003D7D03" w:rsidRDefault="003D7D03" w:rsidP="00277EA9">
            <w:pPr>
              <w:ind w:firstLine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B80F53">
              <w:rPr>
                <w:rFonts w:ascii="Times New Roman" w:hAnsi="Times New Roman"/>
                <w:sz w:val="24"/>
                <w:shd w:val="clear" w:color="auto" w:fill="FEFEFE"/>
              </w:rPr>
              <w:t>а) подписването на административния договор за предоставяне на финансова помощ с РА;</w:t>
            </w:r>
            <w:r w:rsidRPr="00894E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</w:p>
          <w:p w:rsidR="003D7D03" w:rsidRPr="00DD0CE0" w:rsidRDefault="003D7D03" w:rsidP="00277EA9">
            <w:pPr>
              <w:ind w:firstLine="171"/>
              <w:jc w:val="both"/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</w:pPr>
            <w:r w:rsidRPr="00DD0CE0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4"/>
                <w:szCs w:val="24"/>
                <w:highlight w:val="white"/>
                <w:u w:val="single"/>
                <w:shd w:val="clear" w:color="auto" w:fill="FEFEFE"/>
              </w:rPr>
              <w:t xml:space="preserve">б) получаване от бенефициента на уведомително писмо с решението за съгласуване/отказ за съгласуване на последната по време проведена процедура по </w:t>
            </w:r>
            <w:r w:rsidRPr="00DD0CE0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ПМС № 160/2016 г.</w:t>
            </w:r>
          </w:p>
          <w:p w:rsidR="003D7D03" w:rsidRDefault="003D7D03" w:rsidP="00277EA9">
            <w:pPr>
              <w:jc w:val="both"/>
              <w:rPr>
                <w:rFonts w:ascii="Times New Roman" w:hAnsi="Times New Roman"/>
                <w:sz w:val="24"/>
                <w:shd w:val="clear" w:color="auto" w:fill="FEFEFE"/>
              </w:rPr>
            </w:pPr>
            <w:r w:rsidRPr="007D4D02">
              <w:rPr>
                <w:rFonts w:ascii="Times New Roman" w:hAnsi="Times New Roman"/>
                <w:b/>
                <w:sz w:val="24"/>
                <w:shd w:val="clear" w:color="auto" w:fill="FEFEFE"/>
              </w:rPr>
              <w:t>2.</w:t>
            </w:r>
            <w:r w:rsidRPr="007D4D02">
              <w:rPr>
                <w:rFonts w:ascii="Times New Roman" w:hAnsi="Times New Roman"/>
                <w:sz w:val="24"/>
                <w:shd w:val="clear" w:color="auto" w:fill="FEFEFE"/>
              </w:rPr>
              <w:t xml:space="preserve"> Крайният срок </w:t>
            </w:r>
            <w:r w:rsidRPr="00B80F53">
              <w:rPr>
                <w:rFonts w:ascii="Times New Roman" w:hAnsi="Times New Roman"/>
                <w:sz w:val="24"/>
                <w:shd w:val="clear" w:color="auto" w:fill="FEFEFE"/>
              </w:rPr>
              <w:t>за изпълнение на проектите не може да бъде по-късно от 15 септември 2023 г.</w:t>
            </w:r>
          </w:p>
          <w:p w:rsidR="00E67C8E" w:rsidRDefault="00E67C8E" w:rsidP="00277EA9">
            <w:pPr>
              <w:jc w:val="both"/>
              <w:rPr>
                <w:rFonts w:ascii="Times New Roman" w:hAnsi="Times New Roman"/>
                <w:sz w:val="24"/>
                <w:shd w:val="clear" w:color="auto" w:fill="FEFEFE"/>
              </w:rPr>
            </w:pPr>
          </w:p>
          <w:p w:rsidR="00E67C8E" w:rsidRPr="00E67C8E" w:rsidRDefault="00E67C8E" w:rsidP="00277EA9">
            <w:pPr>
              <w:jc w:val="both"/>
              <w:rPr>
                <w:rFonts w:ascii="Times New Roman" w:hAnsi="Times New Roman"/>
                <w:b/>
                <w:sz w:val="24"/>
                <w:shd w:val="clear" w:color="auto" w:fill="FEFEFE"/>
              </w:rPr>
            </w:pPr>
            <w:r w:rsidRPr="00E67C8E">
              <w:rPr>
                <w:rFonts w:ascii="Times New Roman" w:hAnsi="Times New Roman"/>
                <w:b/>
                <w:sz w:val="24"/>
                <w:shd w:val="clear" w:color="auto" w:fill="FEFEFE"/>
              </w:rPr>
              <w:t>Мотив:</w:t>
            </w:r>
          </w:p>
          <w:p w:rsidR="00E67C8E" w:rsidRPr="00894E8F" w:rsidRDefault="00E67C8E" w:rsidP="00277E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Ще има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равнопоставеност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отношение на бенефициенти провеждащи и не провеждащи процедура по ПМС 160. Отделно тази процедура за малките земеделски стопани поради липса на опит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може да изисква по-голям период от време.</w:t>
            </w:r>
          </w:p>
          <w:p w:rsidR="003D7D03" w:rsidRPr="005F4B1B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DE32ED" w:rsidRDefault="00113B50" w:rsidP="00E8516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се приема. </w:t>
            </w:r>
            <w:r w:rsidR="00084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2">
              <w:rPr>
                <w:rFonts w:ascii="Times New Roman" w:hAnsi="Times New Roman" w:cs="Times New Roman"/>
                <w:sz w:val="24"/>
                <w:szCs w:val="24"/>
              </w:rPr>
              <w:t xml:space="preserve">Съгласно Условията за изпълнение </w:t>
            </w:r>
            <w:r w:rsidR="00E85162" w:rsidRPr="00E85162">
              <w:rPr>
                <w:rFonts w:ascii="Times New Roman" w:hAnsi="Times New Roman" w:cs="Times New Roman"/>
                <w:sz w:val="24"/>
                <w:szCs w:val="24"/>
              </w:rPr>
              <w:t xml:space="preserve"> Разплащателната агенция извършва </w:t>
            </w:r>
            <w:proofErr w:type="spellStart"/>
            <w:r w:rsidR="00E85162" w:rsidRPr="00E85162">
              <w:rPr>
                <w:rFonts w:ascii="Times New Roman" w:hAnsi="Times New Roman" w:cs="Times New Roman"/>
                <w:sz w:val="24"/>
                <w:szCs w:val="24"/>
              </w:rPr>
              <w:t>последващ</w:t>
            </w:r>
            <w:proofErr w:type="spellEnd"/>
            <w:r w:rsidR="00E85162" w:rsidRPr="00E85162">
              <w:rPr>
                <w:rFonts w:ascii="Times New Roman" w:hAnsi="Times New Roman" w:cs="Times New Roman"/>
                <w:sz w:val="24"/>
                <w:szCs w:val="24"/>
              </w:rPr>
              <w:t xml:space="preserve"> контрол за законосъобразност за спазване на процедурите за избор на изпълнител по реда на глава четвърта от ЗУСЕСИФ преди извършване на плащане от </w:t>
            </w:r>
            <w:r w:rsidR="005925B5">
              <w:rPr>
                <w:rFonts w:ascii="Times New Roman" w:hAnsi="Times New Roman" w:cs="Times New Roman"/>
                <w:sz w:val="24"/>
                <w:szCs w:val="24"/>
              </w:rPr>
              <w:t xml:space="preserve">ДФЗ - </w:t>
            </w:r>
            <w:r w:rsidR="00E85162" w:rsidRPr="00E85162">
              <w:rPr>
                <w:rFonts w:ascii="Times New Roman" w:hAnsi="Times New Roman" w:cs="Times New Roman"/>
                <w:sz w:val="24"/>
                <w:szCs w:val="24"/>
              </w:rPr>
              <w:t xml:space="preserve">РА. 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 е станала техническа грешка и се има предвид т</w:t>
            </w:r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 от Раздел 11.1 „Критерии за допустимост на кандидатите“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 </w:t>
            </w:r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 за собственост или ползване за цялата налична в земеделското стопанство земя и сгради. За земята, която участва при изчисляването на минималния стандартен производствен обем, кандидатът представя документи в съответствие с условията по т. </w:t>
            </w:r>
            <w:r w:rsidRPr="001537CA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4</w:t>
            </w:r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Раздел 11.1 „Критерии за допустимост на кандидатите“. Представя се във формат "</w:t>
            </w:r>
            <w:proofErr w:type="spellStart"/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  <w:proofErr w:type="spellEnd"/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или "</w:t>
            </w:r>
            <w:proofErr w:type="spellStart"/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jpg</w:t>
            </w:r>
            <w:proofErr w:type="spellEnd"/>
            <w:r w:rsidRPr="0015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";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D84D38" w:rsidRDefault="005022D5" w:rsidP="00502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се приема. С документа се доказва, че к</w:t>
            </w:r>
            <w:r w:rsidRPr="005022D5">
              <w:rPr>
                <w:rFonts w:ascii="Times New Roman" w:hAnsi="Times New Roman" w:cs="Times New Roman"/>
                <w:sz w:val="24"/>
                <w:szCs w:val="24"/>
              </w:rPr>
              <w:t>ъм датата на подаване на проектното предложение кандидатите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 </w:t>
            </w:r>
            <w:r w:rsidRPr="005022D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собственици и/или ползватели на цялата налична в земеделското стопанство земя, включително помещения, оранжерии или </w:t>
            </w:r>
            <w:proofErr w:type="spellStart"/>
            <w:r w:rsidRPr="005022D5">
              <w:rPr>
                <w:rFonts w:ascii="Times New Roman" w:hAnsi="Times New Roman" w:cs="Times New Roman"/>
                <w:sz w:val="24"/>
                <w:szCs w:val="24"/>
              </w:rPr>
              <w:t>гъбарници</w:t>
            </w:r>
            <w:proofErr w:type="spellEnd"/>
            <w:r w:rsidRPr="005022D5">
              <w:rPr>
                <w:rFonts w:ascii="Times New Roman" w:hAnsi="Times New Roman" w:cs="Times New Roman"/>
                <w:sz w:val="24"/>
                <w:szCs w:val="24"/>
              </w:rPr>
              <w:t>, използвани за производствена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 на селскостопански култури и че </w:t>
            </w:r>
            <w:r w:rsidRPr="005022D5">
              <w:rPr>
                <w:rFonts w:ascii="Times New Roman" w:hAnsi="Times New Roman" w:cs="Times New Roman"/>
                <w:sz w:val="24"/>
                <w:szCs w:val="24"/>
              </w:rPr>
              <w:t>са собственици и/или ползватели на животновъдните обекти, сгради и помещения, използвани за животновъдната дейност, в случай че развиват такава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16C0">
              <w:rPr>
                <w:rFonts w:ascii="Times New Roman" w:hAnsi="Times New Roman" w:cs="Times New Roman"/>
                <w:sz w:val="24"/>
                <w:szCs w:val="24"/>
              </w:rPr>
              <w:t xml:space="preserve"> Да се добави и точка 4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503E4" w:rsidRPr="00C503E4" w:rsidRDefault="00C503E4" w:rsidP="00C503E4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bg-BG"/>
              </w:rPr>
            </w:pPr>
            <w:r w:rsidRPr="00C503E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bg-BG"/>
              </w:rPr>
              <w:t>Условия за кандидатстване</w:t>
            </w:r>
          </w:p>
          <w:p w:rsidR="00C503E4" w:rsidRPr="00C503E4" w:rsidRDefault="00C503E4" w:rsidP="00C503E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503E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bg-BG"/>
              </w:rPr>
              <w:t xml:space="preserve">Част </w:t>
            </w: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>24. Списък на документите, които се подават на етап кандидатстване:</w:t>
            </w:r>
          </w:p>
          <w:p w:rsidR="00C503E4" w:rsidRPr="00C503E4" w:rsidRDefault="00C503E4" w:rsidP="00C503E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>24.1 Списък с общи документи: т. 40.</w:t>
            </w:r>
          </w:p>
          <w:p w:rsidR="00C503E4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 се прегледа този документ - Разходите по</w:t>
            </w:r>
            <w:r w:rsidRPr="004F6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т. 2 от Раздел 14.1. „Допустими разходи“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за които е необходима процедура по </w:t>
            </w:r>
            <w:r w:rsidRPr="004F6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ПМС № 160/2016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съгласно т. 18 на раздел 14.2 се провеждат след сключване на административния договор: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 За разходи за строителство, в т. ч. </w:t>
            </w:r>
            <w:proofErr w:type="spellStart"/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съфинансирането</w:t>
            </w:r>
            <w:proofErr w:type="spellEnd"/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страна на бенефициента, без данък върху добавената стойност, на стойност равна или по-висока от 50 000 лв., както и за разходи за доставки или услуги, в т. ч. </w:t>
            </w:r>
            <w:proofErr w:type="spellStart"/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съфинансирането</w:t>
            </w:r>
            <w:proofErr w:type="spellEnd"/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страна на бенефициента, без данък върху добавената стойност, на стойност равна или по-висока от 30 000 лв., бенефициента провежда процедура за избор на изпълнител по реда на ПМС № 160, </w:t>
            </w:r>
            <w:r w:rsidRPr="004C0E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след сключване на административния договор</w:t>
            </w:r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оглед преценка за обоснованост на разходите, бенефициента представя </w:t>
            </w:r>
            <w:r w:rsidRPr="004C0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оферти в съответствие с т. 10 и 11.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</w:tc>
        <w:tc>
          <w:tcPr>
            <w:tcW w:w="6095" w:type="dxa"/>
            <w:shd w:val="clear" w:color="auto" w:fill="auto"/>
          </w:tcPr>
          <w:p w:rsidR="003D7D03" w:rsidRPr="00D84D38" w:rsidRDefault="00330DA7" w:rsidP="005D7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се приема. </w:t>
            </w:r>
            <w:r w:rsidR="005D7F65" w:rsidRPr="005D7F65">
              <w:rPr>
                <w:rFonts w:ascii="Times New Roman" w:hAnsi="Times New Roman" w:cs="Times New Roman"/>
                <w:sz w:val="24"/>
                <w:szCs w:val="24"/>
              </w:rPr>
              <w:t>Документът, посочен в т. 40 касае предварителни разходи за подготовка на проектното предложение, докато т. 18 регламентира разходите за изпълнение на проектното предложение.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9536B9" w:rsidRDefault="009536B9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Условията за изпълнение</w:t>
            </w:r>
          </w:p>
          <w:p w:rsidR="008838C2" w:rsidRPr="008838C2" w:rsidRDefault="009536B9" w:rsidP="008838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А.Техническо изпълнение на проекта, Раздел ІІ</w:t>
            </w:r>
            <w:r w:rsidR="008838C2">
              <w:t xml:space="preserve"> </w:t>
            </w:r>
            <w:r w:rsidR="008838C2" w:rsidRPr="008838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за допустимост, критерии за подбор, ангажименти и други задължения на бенефициентите</w:t>
            </w:r>
          </w:p>
          <w:p w:rsidR="009536B9" w:rsidRDefault="009536B9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Pr="00D462C1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Предлагаме т. 11, да бъде допълнително изяснена. Вероятно текстът по-долу би бил по-ясен: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2C1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За всяка една година от изпълнението на бизнес плана</w:t>
            </w:r>
            <w:r w:rsidRPr="00D4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считано от датата на подаване на искането за окончателно плащане до изтичане на съответния срок за мониторинг бенефициентите - Земеделски стопани, се задължават да постигнат и поддържат резултати от изпълнението, които не са по-ниски от 50 % от заложените в представения от него и одобрен от РА бизнес план показатели </w:t>
            </w:r>
            <w:r w:rsidRPr="00D462C1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за съответната година</w:t>
            </w:r>
            <w:r w:rsidRPr="00D462C1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D462C1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на изпълнението му </w:t>
            </w:r>
            <w:r w:rsidRPr="00D4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по-конкретно: средногодишно количество на планираната, произведена в изпълнение на инвестицията продукция и/или размера на планираните приходи от продажби на тази продукция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Може да се даде и определение за п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ървата година от изпълнение на бизнес плана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Първата година от изпълнение на бизнес плана стартира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датата на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приключване изпълнението на всички инвестиции по проектното предложение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  <w:p w:rsidR="00A34213" w:rsidRDefault="00A3421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213" w:rsidRDefault="00C503E4" w:rsidP="00277EA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Pr="00C503E4" w:rsidRDefault="00C503E4" w:rsidP="00C503E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Настоящия вариант на записване не дава ясното за земеделския стопанин  за точните негови задължения и по-специално как да определи базата за изчисляване на 50% произведена продукция/приход. Например в случай, че тези дванадесет месеца обхващат две години от неговия бизнес план с различно средногодишно количество на планирана продукция или планираните приходи от продажби, на каква база </w:t>
            </w: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lastRenderedPageBreak/>
              <w:t xml:space="preserve">ще се определят 50% - за първата/втората година, средно аритметично или нещо друго. </w:t>
            </w:r>
          </w:p>
          <w:p w:rsidR="00C503E4" w:rsidRPr="00C503E4" w:rsidRDefault="00C503E4" w:rsidP="00277EA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53392F" w:rsidRPr="007C160D" w:rsidRDefault="00C30C55" w:rsidP="006916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C1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9536B9" w:rsidRPr="007C160D">
              <w:rPr>
                <w:rFonts w:ascii="Times New Roman" w:hAnsi="Times New Roman" w:cs="Times New Roman"/>
                <w:sz w:val="24"/>
                <w:szCs w:val="24"/>
              </w:rPr>
              <w:t>е се приема</w:t>
            </w:r>
            <w:r w:rsidR="00156DB6" w:rsidRPr="007C16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392F" w:rsidRPr="007C160D">
              <w:rPr>
                <w:rFonts w:ascii="Times New Roman" w:hAnsi="Times New Roman" w:cs="Times New Roman"/>
                <w:sz w:val="24"/>
                <w:szCs w:val="24"/>
              </w:rPr>
              <w:t>Условието обхваща периода от изплащане на финансовата помощ до изтичане на периода на мониторинг.</w:t>
            </w:r>
          </w:p>
          <w:p w:rsidR="003D7D03" w:rsidRPr="00D84D38" w:rsidRDefault="003D7D03" w:rsidP="00533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 и други еднокопитни, както и Пчелни семейства  да се отделят в раздел „Други“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80"/>
            </w:tblGrid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Птици – о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б</w:t>
                  </w: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що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50. Кокошки-носачки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51. Бройлери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52. Пуйки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53. Гъски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54. Патици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55. Щрауси 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CF04F7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CF04F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Животни - други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56. Коне и други еднокопитни</w:t>
                  </w:r>
                </w:p>
              </w:tc>
            </w:tr>
            <w:tr w:rsidR="003D7D03" w:rsidRPr="00A0106F" w:rsidTr="00277EA9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3D7D03" w:rsidRPr="00A0106F" w:rsidRDefault="003D7D03" w:rsidP="00277EA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57. Пчелни семейства </w:t>
                  </w:r>
                </w:p>
              </w:tc>
            </w:tr>
          </w:tbl>
          <w:p w:rsidR="003D7D03" w:rsidRPr="00D462C1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D84D38" w:rsidRDefault="005022D5" w:rsidP="00D84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се.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34213" w:rsidRDefault="00A3421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7 Бизнес план към Условията за кандидатстване.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 отпадне</w:t>
            </w:r>
            <w:r w:rsidRPr="00CF04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Точка 3 „Описание на дейността на интегрирани проекти как изпълнението им води до по-добри финансови резултати от дейността на кандидата, отколкото, ако операциите или дейностите се изпълняват поотделно;“</w:t>
            </w:r>
          </w:p>
          <w:p w:rsidR="00C503E4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Pr="00C503E4" w:rsidRDefault="00C503E4" w:rsidP="00277EA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Pr="00CF04F7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се подпомагат интегрирани проекти</w:t>
            </w:r>
          </w:p>
        </w:tc>
        <w:tc>
          <w:tcPr>
            <w:tcW w:w="6095" w:type="dxa"/>
            <w:shd w:val="clear" w:color="auto" w:fill="auto"/>
          </w:tcPr>
          <w:p w:rsidR="003D7D03" w:rsidRPr="00D84D38" w:rsidRDefault="00A34213" w:rsidP="00D84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  <w:r w:rsidR="00502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7D03" w:rsidRPr="003C11CC" w:rsidTr="00997361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34213" w:rsidRDefault="00A3421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Pr="00C503E4" w:rsidRDefault="00A34213" w:rsidP="00C503E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A342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7 Бизнес план към Условията за кандидатстване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Таблица 4</w:t>
            </w:r>
            <w:r w:rsidR="00C503E4"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C503E4"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>Сеитбооборот</w:t>
            </w:r>
            <w:proofErr w:type="spellEnd"/>
            <w:r w:rsidR="00C503E4"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/ обработваеми площи в стопанството по видове култури и среден добив от дка</w:t>
            </w:r>
          </w:p>
          <w:p w:rsidR="00A34213" w:rsidRDefault="00A3421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Тази бележка под линия да се замести със следната:</w:t>
            </w:r>
          </w:p>
          <w:p w:rsidR="003D7D03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„В таблицата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 попълват данни за цялата налична в земеделското стопанство земя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Когато кандидатът е група/организация на производители в таблицата се посочва размера на обработваната земя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членовете на групата/организацията на производители, с които участват в групата/организацията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  <w:p w:rsidR="003D7D03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Освен това навсякъде в  таблицата след думите „среден добив“ има „*“, но без да има пояснение за тази звездичка.</w:t>
            </w:r>
          </w:p>
          <w:p w:rsidR="00C503E4" w:rsidRDefault="00C503E4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Pr="00C503E4" w:rsidRDefault="00C503E4" w:rsidP="00277EA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Pr="00C503E4" w:rsidRDefault="00C503E4" w:rsidP="00C50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Тази таблица показва целият 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сеитбооборотни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стопанство и всички обработваеми площи в стопанството, а не само тези, за които той се задължава да поддържа за определен период от време. Тъй като задължението му да поддържа определен размер земя е свързано само  с културите от допустимите сектори, за които ще ползва инвестицията.</w:t>
            </w:r>
          </w:p>
          <w:p w:rsidR="00C503E4" w:rsidRPr="00C503E4" w:rsidRDefault="00C503E4" w:rsidP="00C50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Моля вижте и отговора, който е даден от министерството на 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въпоз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таблица 4 в предходния прием по 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подмярката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C503E4" w:rsidRPr="00C503E4" w:rsidRDefault="00C503E4" w:rsidP="00C50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Отговор на Въпрос 19:</w:t>
            </w:r>
          </w:p>
          <w:p w:rsidR="00C503E4" w:rsidRPr="005F4B1B" w:rsidRDefault="00C503E4" w:rsidP="00C50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„1. В Приложение № 9 Бизнес план, таблица 4 „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Сеитбооборот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обработваеми площи в стопанството по видове култури и среден добив от дка“ се попълват данни за цялата налична в земеделското стопанство земя.“</w:t>
            </w:r>
          </w:p>
        </w:tc>
        <w:tc>
          <w:tcPr>
            <w:tcW w:w="6095" w:type="dxa"/>
            <w:shd w:val="clear" w:color="auto" w:fill="auto"/>
          </w:tcPr>
          <w:p w:rsidR="003D7D03" w:rsidRPr="00E67C8E" w:rsidRDefault="00E67C8E" w:rsidP="00D84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 частично.</w:t>
            </w:r>
            <w:r w:rsidR="005D7F65" w:rsidRPr="00C4082B">
              <w:rPr>
                <w:rFonts w:ascii="Times New Roman" w:hAnsi="Times New Roman" w:cs="Times New Roman"/>
                <w:sz w:val="24"/>
                <w:szCs w:val="24"/>
              </w:rPr>
              <w:t xml:space="preserve"> Текстът е прецизиран</w:t>
            </w:r>
            <w:r w:rsidR="005D7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7D03" w:rsidRPr="003C11CC" w:rsidTr="00CC3998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2730B" w:rsidRDefault="0082730B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7 Бизнес план към Условията за </w:t>
            </w: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кандидатстване.</w:t>
            </w:r>
            <w:r>
              <w:t xml:space="preserve"> </w:t>
            </w: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Таблица 4</w:t>
            </w:r>
            <w:r w:rsid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C503E4"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Сеитбооборот</w:t>
            </w:r>
            <w:proofErr w:type="spellEnd"/>
            <w:r w:rsid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03E4"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03E4" w:rsidRPr="00085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обработваеми площи в стопанството по видове култури и среден добив от дка</w:t>
            </w:r>
            <w:r w:rsid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D7D03" w:rsidRDefault="003D7D03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Във връзка с раздел 11.1. Критерии за допустимост на кандидатите, точка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„При изчисляване на икономическия размер на стопанството насажденията трябва да отговарят на изискванията за минимален брой на растения на единица площ, съгласно Приложение № 5“. Предложението ни е в описанието под таблица 4 „</w:t>
            </w:r>
            <w:proofErr w:type="spellStart"/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Сеитбооборот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обработваеми площи в стопанството по видове култури и среден добив от дка“ на БП да се допълни текста: „Описание на схемата на засаждане на земеделските култури включително минималният брой растения на единица площ 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културите посочени в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Условията за кандидатстване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.“</w:t>
            </w:r>
          </w:p>
          <w:p w:rsid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P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Мотива ни да се отрази подобен текст в БП е наложен от  получените уведомителни писма за отстраняване на 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нередовности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Оценителната комисия по </w:t>
            </w:r>
            <w:proofErr w:type="spellStart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подмярка</w:t>
            </w:r>
            <w:proofErr w:type="spellEnd"/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4.1.2 от приема през 2018 и изискване за предоставяне на допълнително информация относно схемата и минимални брой растения на единица площ за трайните насаждения под претекст ,че в проектното предложение не е посочена тази информация. След като тя е необходима на Оценителната комисия е добре да бъде отразена в БП</w:t>
            </w:r>
          </w:p>
          <w:p w:rsidR="00C503E4" w:rsidRPr="005F4B1B" w:rsidRDefault="00C503E4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3D7D03" w:rsidRPr="00D84D38" w:rsidRDefault="00E67C8E" w:rsidP="00D84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се.</w:t>
            </w:r>
          </w:p>
        </w:tc>
      </w:tr>
      <w:tr w:rsidR="003D7D03" w:rsidRPr="003C11CC" w:rsidTr="00CC3998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2730B" w:rsidRDefault="0082730B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7 Бизнес план към Условията за кандидатстване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Таблица 6.</w:t>
            </w:r>
            <w:r w:rsidR="00C503E4">
              <w:t xml:space="preserve"> </w:t>
            </w:r>
            <w:r w:rsidR="00C503E4"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Разходи за суровини, материали и външни услуги за производство на продукцията от производствената програма</w:t>
            </w:r>
          </w:p>
          <w:p w:rsidR="003D7D03" w:rsidRDefault="003D7D03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Бележката да се промени по следния начин:</w:t>
            </w:r>
          </w:p>
          <w:p w:rsidR="003D7D03" w:rsidRDefault="003D7D03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„В </w:t>
            </w:r>
            <w:r w:rsidRPr="00C335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колона А се описва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</w:t>
            </w:r>
            <w:r w:rsidRPr="00C335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всички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видове </w:t>
            </w:r>
            <w:r w:rsidRPr="00C335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извършвани разходи</w:t>
            </w:r>
            <w:r>
              <w:t xml:space="preserve"> </w:t>
            </w:r>
            <w:r w:rsidRPr="00C335CC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  <w:u w:val="single"/>
              </w:rPr>
              <w:t>за суровини, материали и външни услуги</w:t>
            </w:r>
            <w:r w:rsidRPr="00C335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необходими за осъществяването на земеделската дейност.</w:t>
            </w:r>
          </w:p>
          <w:p w:rsid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Pr="00C503E4" w:rsidRDefault="00C503E4" w:rsidP="00C503E4">
            <w:pPr>
              <w:spacing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>Мотивите да се добави , че става въпрос само за разходи за суровини, материали и външни услуги е  с цял по-голяма яснота, че включва само тези разходи, както е описано в заглавието на таблицата, а не  всички видове разходи за земеделската дейност.</w:t>
            </w:r>
          </w:p>
          <w:p w:rsidR="00C503E4" w:rsidRPr="00C503E4" w:rsidRDefault="00C503E4" w:rsidP="00277EA9">
            <w:pPr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bg-BG"/>
              </w:rPr>
              <w:t>Мотивите ни да отпаднат думите „подробно“ е че това води до различно тълкуване от страна на оценителната комисия какво означава „подробно“ описване</w:t>
            </w:r>
          </w:p>
        </w:tc>
        <w:tc>
          <w:tcPr>
            <w:tcW w:w="6095" w:type="dxa"/>
            <w:shd w:val="clear" w:color="auto" w:fill="auto"/>
          </w:tcPr>
          <w:p w:rsidR="003D7D03" w:rsidRPr="00D84D38" w:rsidRDefault="0082730B" w:rsidP="00827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се приема. Необходимо е подробно описание на  всички извършване разходи.</w:t>
            </w:r>
          </w:p>
        </w:tc>
      </w:tr>
      <w:tr w:rsidR="003D7D03" w:rsidRPr="003C11CC" w:rsidTr="00CC3998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2730B" w:rsidRDefault="0082730B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7 Бизнес план към Условията за кандидатстване. Таблица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03E4"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Прогноза за нетните парични потоци на проекта</w:t>
            </w:r>
          </w:p>
          <w:p w:rsidR="0082730B" w:rsidRDefault="0082730B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03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 се отстранят технически грешки на текста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т.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VII </w:t>
            </w:r>
            <w:r w:rsidRPr="005F4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табл. 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D7D03" w:rsidRDefault="003D7D03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CF04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VІI. Нетен паричен поток (</w:t>
            </w: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C503E4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+4</w:t>
            </w: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+VI</w:t>
            </w:r>
            <w:r w:rsidRPr="00CF04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): получава се от сбора между печалбата след данъци и финансирането по Програмата.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</w:p>
          <w:p w:rsidR="00C503E4" w:rsidRDefault="00C503E4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03E4" w:rsidRDefault="00C503E4" w:rsidP="00277EA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Мотив:</w:t>
            </w:r>
          </w:p>
          <w:p w:rsidR="00C503E4" w:rsidRPr="00C503E4" w:rsidRDefault="00C503E4" w:rsidP="00277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Текстът под табл. 8 не съответства на написаното в колона  А, ред VII  на табл. 8</w:t>
            </w:r>
          </w:p>
        </w:tc>
        <w:tc>
          <w:tcPr>
            <w:tcW w:w="6095" w:type="dxa"/>
            <w:shd w:val="clear" w:color="auto" w:fill="auto"/>
          </w:tcPr>
          <w:p w:rsidR="003D7D03" w:rsidRPr="00D84D38" w:rsidRDefault="0082730B" w:rsidP="00FC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3D7D03" w:rsidRPr="003C11CC" w:rsidTr="00CC3998">
        <w:tc>
          <w:tcPr>
            <w:tcW w:w="567" w:type="dxa"/>
            <w:vMerge/>
            <w:shd w:val="clear" w:color="auto" w:fill="auto"/>
            <w:vAlign w:val="center"/>
          </w:tcPr>
          <w:p w:rsidR="003D7D03" w:rsidRDefault="003D7D03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7D03" w:rsidRPr="00691420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D03" w:rsidRPr="00270946" w:rsidRDefault="003D7D03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2730B" w:rsidRDefault="0082730B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7 Бизнес план към Условията за кандидатстване. </w:t>
            </w:r>
            <w:r w:rsidR="00C503E4" w:rsidRPr="00FD5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VII. Показатели за оценка на ефективността на инвестицията и финансовите показатели (по проекта и за цялостната дейност на кандидата)</w:t>
            </w:r>
          </w:p>
          <w:p w:rsidR="003D7D03" w:rsidRDefault="003D7D03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Този раздел да се актуализира , като по отношение на изчисляване на Нетната настояща стойност отпадне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т.1.2. „Изчисляване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NPV</w:t>
            </w:r>
            <w:r w:rsidRPr="00FD5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val="en-US"/>
              </w:rPr>
              <w:t>f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проекта и на други дейности на кандидата“ и по отношение на Индекса на рентабилност отпадне т.3.2. „Изчисляване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</w:t>
            </w:r>
            <w:r w:rsidRPr="00FD5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val="en-US"/>
              </w:rPr>
              <w:t>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на други дейности на кандидата“</w:t>
            </w:r>
          </w:p>
          <w:p w:rsidR="00C503E4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2730B" w:rsidRPr="00C503E4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</w:t>
            </w:r>
            <w:r w:rsidR="0082730B" w:rsidRPr="00C50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D7D03" w:rsidRPr="00FD5489" w:rsidRDefault="00C503E4" w:rsidP="00277E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бизнес плана не се представя информация за други дейности на кандидата и не са включени подобни таблици за попълване и за малки стопанства би трябвало тези показатели да се изчисляват по-опростено</w:t>
            </w:r>
            <w:r w:rsidRPr="00FD5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3D7D03" w:rsidRPr="00D84D38" w:rsidRDefault="0082730B" w:rsidP="0003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се приема</w:t>
            </w:r>
            <w:r w:rsidR="00034E30">
              <w:rPr>
                <w:rFonts w:ascii="Times New Roman" w:hAnsi="Times New Roman" w:cs="Times New Roman"/>
                <w:sz w:val="24"/>
                <w:szCs w:val="24"/>
              </w:rPr>
              <w:t>. Бизнес плана трябва да доказва икономическа жизнеспособност</w:t>
            </w:r>
            <w:r w:rsidR="00034E30" w:rsidRPr="00034E30">
              <w:rPr>
                <w:rFonts w:ascii="Times New Roman" w:hAnsi="Times New Roman" w:cs="Times New Roman"/>
                <w:sz w:val="24"/>
                <w:szCs w:val="24"/>
              </w:rPr>
              <w:t>, гарантиращ</w:t>
            </w:r>
            <w:r w:rsidR="00034E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4E30" w:rsidRPr="00034E30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устойчивост на </w:t>
            </w:r>
            <w:r w:rsidR="00034E30">
              <w:rPr>
                <w:rFonts w:ascii="Times New Roman" w:hAnsi="Times New Roman" w:cs="Times New Roman"/>
                <w:sz w:val="24"/>
                <w:szCs w:val="24"/>
              </w:rPr>
              <w:t>цялото земеделск</w:t>
            </w:r>
            <w:r w:rsidR="00034E30" w:rsidRPr="00034E30">
              <w:rPr>
                <w:rFonts w:ascii="Times New Roman" w:hAnsi="Times New Roman" w:cs="Times New Roman"/>
                <w:sz w:val="24"/>
                <w:szCs w:val="24"/>
              </w:rPr>
              <w:t>о стопанство.</w:t>
            </w:r>
          </w:p>
        </w:tc>
      </w:tr>
    </w:tbl>
    <w:p w:rsidR="00B36EF4" w:rsidRDefault="00B36EF4" w:rsidP="00C23E16"/>
    <w:sectPr w:rsidR="00B36EF4" w:rsidSect="002A1437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A4" w:rsidRDefault="001F35A4" w:rsidP="00D00C79">
      <w:pPr>
        <w:spacing w:after="0" w:line="240" w:lineRule="auto"/>
      </w:pPr>
      <w:r>
        <w:separator/>
      </w:r>
    </w:p>
  </w:endnote>
  <w:endnote w:type="continuationSeparator" w:id="0">
    <w:p w:rsidR="001F35A4" w:rsidRDefault="001F35A4" w:rsidP="00D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A4" w:rsidRDefault="001F35A4" w:rsidP="00D00C79">
      <w:pPr>
        <w:spacing w:after="0" w:line="240" w:lineRule="auto"/>
      </w:pPr>
      <w:r>
        <w:separator/>
      </w:r>
    </w:p>
  </w:footnote>
  <w:footnote w:type="continuationSeparator" w:id="0">
    <w:p w:rsidR="001F35A4" w:rsidRDefault="001F35A4" w:rsidP="00D00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252"/>
    <w:multiLevelType w:val="multilevel"/>
    <w:tmpl w:val="9264A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E363FF"/>
    <w:multiLevelType w:val="multilevel"/>
    <w:tmpl w:val="0E66B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8C3906"/>
    <w:multiLevelType w:val="hybridMultilevel"/>
    <w:tmpl w:val="A35ECB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586904"/>
    <w:multiLevelType w:val="multilevel"/>
    <w:tmpl w:val="2104E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26455"/>
    <w:multiLevelType w:val="hybridMultilevel"/>
    <w:tmpl w:val="9560F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41E1D"/>
    <w:multiLevelType w:val="hybridMultilevel"/>
    <w:tmpl w:val="17D0F6A2"/>
    <w:lvl w:ilvl="0" w:tplc="8DC654D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C1988"/>
    <w:multiLevelType w:val="multilevel"/>
    <w:tmpl w:val="3E967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2668E"/>
    <w:multiLevelType w:val="multilevel"/>
    <w:tmpl w:val="6B5E6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4E67C55"/>
    <w:multiLevelType w:val="hybridMultilevel"/>
    <w:tmpl w:val="7F1CF9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494D5E"/>
    <w:multiLevelType w:val="hybridMultilevel"/>
    <w:tmpl w:val="8F900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F01343"/>
    <w:multiLevelType w:val="hybridMultilevel"/>
    <w:tmpl w:val="526C8C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23"/>
  </w:num>
  <w:num w:numId="4">
    <w:abstractNumId w:val="26"/>
  </w:num>
  <w:num w:numId="5">
    <w:abstractNumId w:val="4"/>
  </w:num>
  <w:num w:numId="6">
    <w:abstractNumId w:val="9"/>
  </w:num>
  <w:num w:numId="7">
    <w:abstractNumId w:val="13"/>
  </w:num>
  <w:num w:numId="8">
    <w:abstractNumId w:val="20"/>
  </w:num>
  <w:num w:numId="9">
    <w:abstractNumId w:val="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"/>
  </w:num>
  <w:num w:numId="25">
    <w:abstractNumId w:val="14"/>
  </w:num>
  <w:num w:numId="26">
    <w:abstractNumId w:val="1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A1"/>
    <w:rsid w:val="00002669"/>
    <w:rsid w:val="00005954"/>
    <w:rsid w:val="000072C7"/>
    <w:rsid w:val="000160EE"/>
    <w:rsid w:val="00020146"/>
    <w:rsid w:val="0002546F"/>
    <w:rsid w:val="00026B90"/>
    <w:rsid w:val="00030C4E"/>
    <w:rsid w:val="00034E30"/>
    <w:rsid w:val="0004174E"/>
    <w:rsid w:val="00045E82"/>
    <w:rsid w:val="00047D1E"/>
    <w:rsid w:val="00057F95"/>
    <w:rsid w:val="00060675"/>
    <w:rsid w:val="00065527"/>
    <w:rsid w:val="00066953"/>
    <w:rsid w:val="00077F19"/>
    <w:rsid w:val="00084EE5"/>
    <w:rsid w:val="000A0F5B"/>
    <w:rsid w:val="000A44BC"/>
    <w:rsid w:val="000A7936"/>
    <w:rsid w:val="000B0E87"/>
    <w:rsid w:val="000D24DF"/>
    <w:rsid w:val="000E078B"/>
    <w:rsid w:val="000E08FD"/>
    <w:rsid w:val="000E2EA1"/>
    <w:rsid w:val="000F47B9"/>
    <w:rsid w:val="000F7C57"/>
    <w:rsid w:val="000F7EF3"/>
    <w:rsid w:val="00100168"/>
    <w:rsid w:val="0010180E"/>
    <w:rsid w:val="00103291"/>
    <w:rsid w:val="00105039"/>
    <w:rsid w:val="001137A1"/>
    <w:rsid w:val="00113B50"/>
    <w:rsid w:val="00114804"/>
    <w:rsid w:val="001366F5"/>
    <w:rsid w:val="0014437F"/>
    <w:rsid w:val="00153377"/>
    <w:rsid w:val="00156DB6"/>
    <w:rsid w:val="00156DD4"/>
    <w:rsid w:val="00157F9A"/>
    <w:rsid w:val="0018366B"/>
    <w:rsid w:val="0018762C"/>
    <w:rsid w:val="001957C4"/>
    <w:rsid w:val="00195B7F"/>
    <w:rsid w:val="001C2D80"/>
    <w:rsid w:val="001E5AEA"/>
    <w:rsid w:val="001F32C5"/>
    <w:rsid w:val="001F35A4"/>
    <w:rsid w:val="001F6B53"/>
    <w:rsid w:val="00200F16"/>
    <w:rsid w:val="00205343"/>
    <w:rsid w:val="00217DBD"/>
    <w:rsid w:val="00225505"/>
    <w:rsid w:val="00226899"/>
    <w:rsid w:val="00230E2B"/>
    <w:rsid w:val="00240A24"/>
    <w:rsid w:val="00241A60"/>
    <w:rsid w:val="00250BEA"/>
    <w:rsid w:val="00251EE7"/>
    <w:rsid w:val="00283CBB"/>
    <w:rsid w:val="002877B4"/>
    <w:rsid w:val="002A1437"/>
    <w:rsid w:val="002B254D"/>
    <w:rsid w:val="002B7005"/>
    <w:rsid w:val="002B7197"/>
    <w:rsid w:val="002C00A0"/>
    <w:rsid w:val="002C714E"/>
    <w:rsid w:val="002E02BB"/>
    <w:rsid w:val="002F130C"/>
    <w:rsid w:val="002F25CF"/>
    <w:rsid w:val="002F3F9A"/>
    <w:rsid w:val="002F4466"/>
    <w:rsid w:val="002F6A1D"/>
    <w:rsid w:val="003107C9"/>
    <w:rsid w:val="00326D47"/>
    <w:rsid w:val="00330DA7"/>
    <w:rsid w:val="00333360"/>
    <w:rsid w:val="00337928"/>
    <w:rsid w:val="003448FD"/>
    <w:rsid w:val="00350688"/>
    <w:rsid w:val="00375AB4"/>
    <w:rsid w:val="00376C97"/>
    <w:rsid w:val="0038133D"/>
    <w:rsid w:val="00381AA6"/>
    <w:rsid w:val="0039387C"/>
    <w:rsid w:val="00394725"/>
    <w:rsid w:val="003960B6"/>
    <w:rsid w:val="003A2203"/>
    <w:rsid w:val="003A45AC"/>
    <w:rsid w:val="003B3B4B"/>
    <w:rsid w:val="003C124D"/>
    <w:rsid w:val="003C7F32"/>
    <w:rsid w:val="003D488A"/>
    <w:rsid w:val="003D7D03"/>
    <w:rsid w:val="003E2096"/>
    <w:rsid w:val="0042543F"/>
    <w:rsid w:val="00426D71"/>
    <w:rsid w:val="00433391"/>
    <w:rsid w:val="0044180C"/>
    <w:rsid w:val="00451D1C"/>
    <w:rsid w:val="00455D20"/>
    <w:rsid w:val="00456272"/>
    <w:rsid w:val="00467FF5"/>
    <w:rsid w:val="00471450"/>
    <w:rsid w:val="00477BD5"/>
    <w:rsid w:val="00480F3E"/>
    <w:rsid w:val="00486A54"/>
    <w:rsid w:val="0049265A"/>
    <w:rsid w:val="00492E85"/>
    <w:rsid w:val="004A7882"/>
    <w:rsid w:val="004B1666"/>
    <w:rsid w:val="004B455F"/>
    <w:rsid w:val="004B73A9"/>
    <w:rsid w:val="004D312E"/>
    <w:rsid w:val="004D498A"/>
    <w:rsid w:val="004D72D4"/>
    <w:rsid w:val="004D7B0C"/>
    <w:rsid w:val="004E131B"/>
    <w:rsid w:val="004F6E6B"/>
    <w:rsid w:val="005022D5"/>
    <w:rsid w:val="00505F48"/>
    <w:rsid w:val="005101C3"/>
    <w:rsid w:val="00515C1C"/>
    <w:rsid w:val="0052672A"/>
    <w:rsid w:val="0053392F"/>
    <w:rsid w:val="00540779"/>
    <w:rsid w:val="00541C80"/>
    <w:rsid w:val="00566488"/>
    <w:rsid w:val="00591299"/>
    <w:rsid w:val="005925B5"/>
    <w:rsid w:val="005A2173"/>
    <w:rsid w:val="005A3AD7"/>
    <w:rsid w:val="005A6B63"/>
    <w:rsid w:val="005B14BE"/>
    <w:rsid w:val="005B3294"/>
    <w:rsid w:val="005C0918"/>
    <w:rsid w:val="005C39BE"/>
    <w:rsid w:val="005D13DB"/>
    <w:rsid w:val="005D7F65"/>
    <w:rsid w:val="005E33AD"/>
    <w:rsid w:val="005E4160"/>
    <w:rsid w:val="005F0BC0"/>
    <w:rsid w:val="005F17D4"/>
    <w:rsid w:val="00601AAA"/>
    <w:rsid w:val="00603772"/>
    <w:rsid w:val="006110D8"/>
    <w:rsid w:val="006210FD"/>
    <w:rsid w:val="00621B40"/>
    <w:rsid w:val="006424FF"/>
    <w:rsid w:val="00642762"/>
    <w:rsid w:val="0065426D"/>
    <w:rsid w:val="00655A09"/>
    <w:rsid w:val="00660708"/>
    <w:rsid w:val="0067656A"/>
    <w:rsid w:val="00677A69"/>
    <w:rsid w:val="0068653D"/>
    <w:rsid w:val="00686FE1"/>
    <w:rsid w:val="00691420"/>
    <w:rsid w:val="006916C0"/>
    <w:rsid w:val="00693552"/>
    <w:rsid w:val="00693B67"/>
    <w:rsid w:val="00694EE0"/>
    <w:rsid w:val="006B480E"/>
    <w:rsid w:val="006C1C81"/>
    <w:rsid w:val="006C3A75"/>
    <w:rsid w:val="006D4168"/>
    <w:rsid w:val="006E2249"/>
    <w:rsid w:val="006E578D"/>
    <w:rsid w:val="006E6F6C"/>
    <w:rsid w:val="006F1185"/>
    <w:rsid w:val="006F6961"/>
    <w:rsid w:val="0072337F"/>
    <w:rsid w:val="0073130D"/>
    <w:rsid w:val="0074293C"/>
    <w:rsid w:val="00746270"/>
    <w:rsid w:val="00755122"/>
    <w:rsid w:val="00760E88"/>
    <w:rsid w:val="007617C2"/>
    <w:rsid w:val="007656E7"/>
    <w:rsid w:val="00771CDF"/>
    <w:rsid w:val="00772541"/>
    <w:rsid w:val="00787F0B"/>
    <w:rsid w:val="0079002B"/>
    <w:rsid w:val="00790DF0"/>
    <w:rsid w:val="00791CC4"/>
    <w:rsid w:val="007953C8"/>
    <w:rsid w:val="00796614"/>
    <w:rsid w:val="007A420B"/>
    <w:rsid w:val="007B2E30"/>
    <w:rsid w:val="007B5454"/>
    <w:rsid w:val="007B5883"/>
    <w:rsid w:val="007B7778"/>
    <w:rsid w:val="007C160D"/>
    <w:rsid w:val="007C3972"/>
    <w:rsid w:val="007D15E8"/>
    <w:rsid w:val="007D5A5D"/>
    <w:rsid w:val="007D5B7B"/>
    <w:rsid w:val="007E3E95"/>
    <w:rsid w:val="007E6703"/>
    <w:rsid w:val="00806AEA"/>
    <w:rsid w:val="008144EE"/>
    <w:rsid w:val="0081686A"/>
    <w:rsid w:val="008170AA"/>
    <w:rsid w:val="00825A19"/>
    <w:rsid w:val="0082730B"/>
    <w:rsid w:val="008311BF"/>
    <w:rsid w:val="008337CE"/>
    <w:rsid w:val="00840848"/>
    <w:rsid w:val="00842B17"/>
    <w:rsid w:val="008567FE"/>
    <w:rsid w:val="008619A1"/>
    <w:rsid w:val="0088018A"/>
    <w:rsid w:val="008803C8"/>
    <w:rsid w:val="008838C2"/>
    <w:rsid w:val="008921DA"/>
    <w:rsid w:val="008924D7"/>
    <w:rsid w:val="008A4E2A"/>
    <w:rsid w:val="008D4576"/>
    <w:rsid w:val="008E078F"/>
    <w:rsid w:val="008E58B2"/>
    <w:rsid w:val="008F285D"/>
    <w:rsid w:val="00905189"/>
    <w:rsid w:val="009061CF"/>
    <w:rsid w:val="00906767"/>
    <w:rsid w:val="009077CB"/>
    <w:rsid w:val="00911099"/>
    <w:rsid w:val="00911330"/>
    <w:rsid w:val="00922932"/>
    <w:rsid w:val="00944135"/>
    <w:rsid w:val="009536B9"/>
    <w:rsid w:val="00957A39"/>
    <w:rsid w:val="00962CC1"/>
    <w:rsid w:val="009765FA"/>
    <w:rsid w:val="009960C6"/>
    <w:rsid w:val="00997361"/>
    <w:rsid w:val="009A108F"/>
    <w:rsid w:val="009A1703"/>
    <w:rsid w:val="009B1A4D"/>
    <w:rsid w:val="009C31DA"/>
    <w:rsid w:val="009C6981"/>
    <w:rsid w:val="009E4114"/>
    <w:rsid w:val="00A00F39"/>
    <w:rsid w:val="00A07E75"/>
    <w:rsid w:val="00A11147"/>
    <w:rsid w:val="00A1253C"/>
    <w:rsid w:val="00A237DA"/>
    <w:rsid w:val="00A270DB"/>
    <w:rsid w:val="00A31D71"/>
    <w:rsid w:val="00A34213"/>
    <w:rsid w:val="00A35BF2"/>
    <w:rsid w:val="00A37DF0"/>
    <w:rsid w:val="00A45863"/>
    <w:rsid w:val="00A50EAE"/>
    <w:rsid w:val="00A51BCB"/>
    <w:rsid w:val="00A569F2"/>
    <w:rsid w:val="00A671C8"/>
    <w:rsid w:val="00A6744D"/>
    <w:rsid w:val="00A83CC3"/>
    <w:rsid w:val="00A92318"/>
    <w:rsid w:val="00A95B59"/>
    <w:rsid w:val="00AB08FA"/>
    <w:rsid w:val="00AC1EF6"/>
    <w:rsid w:val="00AD2F0B"/>
    <w:rsid w:val="00AE3473"/>
    <w:rsid w:val="00AE791E"/>
    <w:rsid w:val="00AF4738"/>
    <w:rsid w:val="00AF7632"/>
    <w:rsid w:val="00B017CC"/>
    <w:rsid w:val="00B05613"/>
    <w:rsid w:val="00B11311"/>
    <w:rsid w:val="00B12F47"/>
    <w:rsid w:val="00B22BC0"/>
    <w:rsid w:val="00B2544E"/>
    <w:rsid w:val="00B36EF4"/>
    <w:rsid w:val="00B52BAC"/>
    <w:rsid w:val="00B53634"/>
    <w:rsid w:val="00B53830"/>
    <w:rsid w:val="00B54DCA"/>
    <w:rsid w:val="00B55CFC"/>
    <w:rsid w:val="00B60846"/>
    <w:rsid w:val="00B704F0"/>
    <w:rsid w:val="00B73FA7"/>
    <w:rsid w:val="00B80540"/>
    <w:rsid w:val="00B825D5"/>
    <w:rsid w:val="00B91711"/>
    <w:rsid w:val="00B966E2"/>
    <w:rsid w:val="00BA2BE7"/>
    <w:rsid w:val="00BA61ED"/>
    <w:rsid w:val="00BA7FE8"/>
    <w:rsid w:val="00BB0FBB"/>
    <w:rsid w:val="00BC448E"/>
    <w:rsid w:val="00BC620E"/>
    <w:rsid w:val="00BE2366"/>
    <w:rsid w:val="00BE3A4B"/>
    <w:rsid w:val="00BE3BC3"/>
    <w:rsid w:val="00BE7B1B"/>
    <w:rsid w:val="00BF7975"/>
    <w:rsid w:val="00C00EF0"/>
    <w:rsid w:val="00C01447"/>
    <w:rsid w:val="00C03D07"/>
    <w:rsid w:val="00C05A5D"/>
    <w:rsid w:val="00C10E0C"/>
    <w:rsid w:val="00C128FC"/>
    <w:rsid w:val="00C23B8A"/>
    <w:rsid w:val="00C23E16"/>
    <w:rsid w:val="00C25FF6"/>
    <w:rsid w:val="00C30C55"/>
    <w:rsid w:val="00C3335B"/>
    <w:rsid w:val="00C35D18"/>
    <w:rsid w:val="00C37015"/>
    <w:rsid w:val="00C45245"/>
    <w:rsid w:val="00C503E4"/>
    <w:rsid w:val="00C506D3"/>
    <w:rsid w:val="00C51B94"/>
    <w:rsid w:val="00C60493"/>
    <w:rsid w:val="00C740AB"/>
    <w:rsid w:val="00C85D71"/>
    <w:rsid w:val="00C904E5"/>
    <w:rsid w:val="00C91DA3"/>
    <w:rsid w:val="00C92333"/>
    <w:rsid w:val="00C95D3E"/>
    <w:rsid w:val="00C96708"/>
    <w:rsid w:val="00C969AB"/>
    <w:rsid w:val="00CA6374"/>
    <w:rsid w:val="00CC2AAF"/>
    <w:rsid w:val="00CC54B9"/>
    <w:rsid w:val="00CD2B72"/>
    <w:rsid w:val="00CE4875"/>
    <w:rsid w:val="00D00C79"/>
    <w:rsid w:val="00D0669D"/>
    <w:rsid w:val="00D159F9"/>
    <w:rsid w:val="00D17B77"/>
    <w:rsid w:val="00D2105B"/>
    <w:rsid w:val="00D34E26"/>
    <w:rsid w:val="00D42FC2"/>
    <w:rsid w:val="00D53B3D"/>
    <w:rsid w:val="00D61366"/>
    <w:rsid w:val="00D635E3"/>
    <w:rsid w:val="00D714AC"/>
    <w:rsid w:val="00D72FA7"/>
    <w:rsid w:val="00D74F7F"/>
    <w:rsid w:val="00D76514"/>
    <w:rsid w:val="00D82250"/>
    <w:rsid w:val="00D84B9B"/>
    <w:rsid w:val="00D84D38"/>
    <w:rsid w:val="00D84ED3"/>
    <w:rsid w:val="00D85040"/>
    <w:rsid w:val="00D961D2"/>
    <w:rsid w:val="00DA35E2"/>
    <w:rsid w:val="00DB1092"/>
    <w:rsid w:val="00DB22A6"/>
    <w:rsid w:val="00DB66C8"/>
    <w:rsid w:val="00DC1EF7"/>
    <w:rsid w:val="00DC62EE"/>
    <w:rsid w:val="00DD286A"/>
    <w:rsid w:val="00DE282B"/>
    <w:rsid w:val="00DE32ED"/>
    <w:rsid w:val="00DE7826"/>
    <w:rsid w:val="00E0319B"/>
    <w:rsid w:val="00E12B2C"/>
    <w:rsid w:val="00E237FB"/>
    <w:rsid w:val="00E353EB"/>
    <w:rsid w:val="00E36684"/>
    <w:rsid w:val="00E402C1"/>
    <w:rsid w:val="00E47CD6"/>
    <w:rsid w:val="00E566DE"/>
    <w:rsid w:val="00E677DB"/>
    <w:rsid w:val="00E67C8E"/>
    <w:rsid w:val="00E8232A"/>
    <w:rsid w:val="00E85162"/>
    <w:rsid w:val="00E86DA6"/>
    <w:rsid w:val="00E91C13"/>
    <w:rsid w:val="00EA0EB6"/>
    <w:rsid w:val="00EB39FA"/>
    <w:rsid w:val="00EB5594"/>
    <w:rsid w:val="00EC0139"/>
    <w:rsid w:val="00EC6E52"/>
    <w:rsid w:val="00ED1C85"/>
    <w:rsid w:val="00EE305E"/>
    <w:rsid w:val="00EE39D4"/>
    <w:rsid w:val="00EF0D58"/>
    <w:rsid w:val="00EF4F5D"/>
    <w:rsid w:val="00F02F7A"/>
    <w:rsid w:val="00F05A7B"/>
    <w:rsid w:val="00F074C6"/>
    <w:rsid w:val="00F14678"/>
    <w:rsid w:val="00F239C0"/>
    <w:rsid w:val="00F25655"/>
    <w:rsid w:val="00F34FFE"/>
    <w:rsid w:val="00F440EF"/>
    <w:rsid w:val="00F47564"/>
    <w:rsid w:val="00F6512A"/>
    <w:rsid w:val="00F721DD"/>
    <w:rsid w:val="00F7253D"/>
    <w:rsid w:val="00F77F01"/>
    <w:rsid w:val="00F9449E"/>
    <w:rsid w:val="00F95FAB"/>
    <w:rsid w:val="00F96519"/>
    <w:rsid w:val="00FA22A3"/>
    <w:rsid w:val="00FA3B45"/>
    <w:rsid w:val="00FB3F91"/>
    <w:rsid w:val="00FB70AB"/>
    <w:rsid w:val="00FC0253"/>
    <w:rsid w:val="00FC1341"/>
    <w:rsid w:val="00FC2994"/>
    <w:rsid w:val="00FC46BD"/>
    <w:rsid w:val="00FC55DD"/>
    <w:rsid w:val="00FD2834"/>
    <w:rsid w:val="00FD3864"/>
    <w:rsid w:val="00FD62E7"/>
    <w:rsid w:val="00FE6054"/>
    <w:rsid w:val="00FF150F"/>
    <w:rsid w:val="00FF3724"/>
    <w:rsid w:val="00FF3FFA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C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medocreference">
    <w:name w:val="samedocreference"/>
    <w:basedOn w:val="DefaultParagraphFont"/>
    <w:rsid w:val="008D4576"/>
  </w:style>
  <w:style w:type="character" w:styleId="CommentReference">
    <w:name w:val="annotation reference"/>
    <w:basedOn w:val="DefaultParagraphFont"/>
    <w:uiPriority w:val="99"/>
    <w:semiHidden/>
    <w:unhideWhenUsed/>
    <w:rsid w:val="006427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7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7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7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76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C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medocreference">
    <w:name w:val="samedocreference"/>
    <w:basedOn w:val="DefaultParagraphFont"/>
    <w:rsid w:val="008D4576"/>
  </w:style>
  <w:style w:type="character" w:styleId="CommentReference">
    <w:name w:val="annotation reference"/>
    <w:basedOn w:val="DefaultParagraphFont"/>
    <w:uiPriority w:val="99"/>
    <w:semiHidden/>
    <w:unhideWhenUsed/>
    <w:rsid w:val="006427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7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7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7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7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48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1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02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5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52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1961-36CC-4F14-BF5B-00A6D108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2623</Words>
  <Characters>14952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17540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2</cp:revision>
  <dcterms:created xsi:type="dcterms:W3CDTF">2020-07-16T15:30:00Z</dcterms:created>
  <dcterms:modified xsi:type="dcterms:W3CDTF">2020-07-16T15:30:00Z</dcterms:modified>
</cp:coreProperties>
</file>